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39" w:rsidRDefault="00236D39" w:rsidP="00236D39">
      <w:pPr>
        <w:spacing w:after="0"/>
        <w:rPr>
          <w:rFonts w:ascii="Arial" w:hAnsi="Arial" w:cs="Arial"/>
        </w:rPr>
      </w:pPr>
    </w:p>
    <w:p w:rsidR="00236D39" w:rsidRDefault="00236D39" w:rsidP="00236D39">
      <w:pPr>
        <w:spacing w:after="0"/>
        <w:rPr>
          <w:rFonts w:ascii="Arial" w:hAnsi="Arial" w:cs="Arial"/>
          <w:b/>
        </w:rPr>
      </w:pPr>
    </w:p>
    <w:p w:rsidR="00F94A15" w:rsidRDefault="00EE596C" w:rsidP="00EE596C">
      <w:pPr>
        <w:spacing w:after="0"/>
        <w:jc w:val="center"/>
        <w:rPr>
          <w:rFonts w:ascii="Arial" w:hAnsi="Arial" w:cs="Arial"/>
          <w:b/>
        </w:rPr>
      </w:pPr>
      <w:r>
        <w:rPr>
          <w:rFonts w:ascii="Arial" w:hAnsi="Arial" w:cs="Arial"/>
          <w:b/>
        </w:rPr>
        <w:t xml:space="preserve">ACTA DE LA SEGUNDA SESIÓN DE EL AREA DE CULTURA </w:t>
      </w:r>
    </w:p>
    <w:p w:rsidR="00EE596C" w:rsidRDefault="00EE596C" w:rsidP="00EE596C">
      <w:pPr>
        <w:spacing w:after="0"/>
        <w:jc w:val="center"/>
        <w:rPr>
          <w:rFonts w:ascii="Arial" w:hAnsi="Arial" w:cs="Arial"/>
          <w:b/>
        </w:rPr>
      </w:pPr>
      <w:r>
        <w:rPr>
          <w:rFonts w:ascii="Arial" w:hAnsi="Arial" w:cs="Arial"/>
          <w:b/>
        </w:rPr>
        <w:t>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236D39">
      <w:pPr>
        <w:spacing w:after="0"/>
        <w:jc w:val="both"/>
        <w:rPr>
          <w:rFonts w:ascii="Arial" w:hAnsi="Arial" w:cs="Arial"/>
          <w:b/>
        </w:rPr>
      </w:pPr>
      <w:r>
        <w:rPr>
          <w:rFonts w:ascii="Arial" w:hAnsi="Arial" w:cs="Arial"/>
          <w:b/>
        </w:rPr>
        <w:t>En Ayutla, Jalisco siendo las 20:00 horas del día jueves 26 (veintiséis) de noviembre del 2015 (dos mil quince),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numPr>
          <w:ilvl w:val="0"/>
          <w:numId w:val="15"/>
        </w:numPr>
        <w:spacing w:after="0"/>
        <w:jc w:val="both"/>
        <w:rPr>
          <w:rFonts w:ascii="Arial" w:hAnsi="Arial" w:cs="Arial"/>
          <w:b/>
        </w:rPr>
      </w:pPr>
      <w:r>
        <w:rPr>
          <w:rFonts w:ascii="Arial" w:hAnsi="Arial" w:cs="Arial"/>
          <w:b/>
        </w:rPr>
        <w:t>Lista de asistencia.</w:t>
      </w:r>
    </w:p>
    <w:p w:rsidR="00EE596C" w:rsidRDefault="00EE596C" w:rsidP="00236D39">
      <w:pPr>
        <w:numPr>
          <w:ilvl w:val="0"/>
          <w:numId w:val="15"/>
        </w:numPr>
        <w:spacing w:after="0"/>
        <w:jc w:val="both"/>
        <w:rPr>
          <w:rFonts w:ascii="Arial" w:hAnsi="Arial" w:cs="Arial"/>
          <w:b/>
        </w:rPr>
      </w:pPr>
      <w:r>
        <w:rPr>
          <w:rFonts w:ascii="Arial" w:hAnsi="Arial" w:cs="Arial"/>
          <w:b/>
        </w:rPr>
        <w:t>Aprobación del orden del día.</w:t>
      </w:r>
    </w:p>
    <w:p w:rsidR="00EE596C" w:rsidRDefault="00EE596C" w:rsidP="00236D39">
      <w:pPr>
        <w:numPr>
          <w:ilvl w:val="0"/>
          <w:numId w:val="15"/>
        </w:numPr>
        <w:spacing w:after="0"/>
        <w:jc w:val="both"/>
        <w:rPr>
          <w:rFonts w:ascii="Arial" w:hAnsi="Arial" w:cs="Arial"/>
          <w:b/>
        </w:rPr>
      </w:pPr>
      <w:r>
        <w:rPr>
          <w:rFonts w:ascii="Arial" w:hAnsi="Arial" w:cs="Arial"/>
          <w:b/>
        </w:rPr>
        <w:t>Revisión de  los eventos realizados el mes de noviembre.</w:t>
      </w:r>
    </w:p>
    <w:p w:rsidR="00EE596C" w:rsidRDefault="00EE596C" w:rsidP="00236D39">
      <w:pPr>
        <w:numPr>
          <w:ilvl w:val="0"/>
          <w:numId w:val="15"/>
        </w:numPr>
        <w:spacing w:after="0"/>
        <w:jc w:val="both"/>
        <w:rPr>
          <w:rFonts w:ascii="Arial" w:hAnsi="Arial" w:cs="Arial"/>
          <w:b/>
        </w:rPr>
      </w:pPr>
      <w:r>
        <w:rPr>
          <w:rFonts w:ascii="Arial" w:hAnsi="Arial" w:cs="Arial"/>
          <w:b/>
        </w:rPr>
        <w:t>Revisión del programa anual correspondiente a los meses próximos</w:t>
      </w:r>
    </w:p>
    <w:p w:rsidR="00EE596C" w:rsidRDefault="00EE596C" w:rsidP="00236D39">
      <w:pPr>
        <w:numPr>
          <w:ilvl w:val="0"/>
          <w:numId w:val="15"/>
        </w:numPr>
        <w:spacing w:after="0"/>
        <w:jc w:val="both"/>
        <w:rPr>
          <w:rFonts w:ascii="Arial" w:hAnsi="Arial" w:cs="Arial"/>
          <w:b/>
        </w:rPr>
      </w:pPr>
      <w:r>
        <w:rPr>
          <w:rFonts w:ascii="Arial" w:hAnsi="Arial" w:cs="Arial"/>
          <w:b/>
        </w:rPr>
        <w:t>Asuntos varios.</w:t>
      </w:r>
    </w:p>
    <w:p w:rsidR="00EE596C" w:rsidRDefault="00EE596C" w:rsidP="00236D39">
      <w:pPr>
        <w:numPr>
          <w:ilvl w:val="0"/>
          <w:numId w:val="15"/>
        </w:numPr>
        <w:spacing w:after="0"/>
        <w:jc w:val="both"/>
        <w:rPr>
          <w:rFonts w:ascii="Arial" w:hAnsi="Arial" w:cs="Arial"/>
          <w:b/>
        </w:rPr>
      </w:pPr>
      <w:r>
        <w:rPr>
          <w:rFonts w:ascii="Arial" w:hAnsi="Arial" w:cs="Arial"/>
          <w:b/>
        </w:rPr>
        <w:t>Clausura.</w:t>
      </w: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numPr>
          <w:ilvl w:val="0"/>
          <w:numId w:val="16"/>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Eva torres  se da inicio a la reunión.</w:t>
      </w:r>
    </w:p>
    <w:p w:rsidR="00EE596C" w:rsidRDefault="00EE596C" w:rsidP="00236D39">
      <w:pPr>
        <w:spacing w:after="0"/>
        <w:ind w:left="1800"/>
        <w:jc w:val="both"/>
        <w:rPr>
          <w:rFonts w:ascii="Arial" w:hAnsi="Arial" w:cs="Arial"/>
          <w:b/>
        </w:rPr>
      </w:pPr>
    </w:p>
    <w:p w:rsidR="00EE596C" w:rsidRDefault="00EE596C" w:rsidP="00236D39">
      <w:pPr>
        <w:spacing w:after="0"/>
        <w:ind w:left="1800"/>
        <w:jc w:val="both"/>
        <w:rPr>
          <w:rFonts w:ascii="Arial" w:hAnsi="Arial" w:cs="Arial"/>
          <w:b/>
        </w:rPr>
      </w:pPr>
    </w:p>
    <w:p w:rsidR="00EE596C" w:rsidRDefault="00EE596C" w:rsidP="00236D39">
      <w:pPr>
        <w:numPr>
          <w:ilvl w:val="0"/>
          <w:numId w:val="16"/>
        </w:numPr>
        <w:spacing w:after="0"/>
        <w:jc w:val="both"/>
        <w:rPr>
          <w:rFonts w:ascii="Arial" w:hAnsi="Arial" w:cs="Arial"/>
          <w:b/>
        </w:rPr>
      </w:pPr>
      <w:r>
        <w:rPr>
          <w:rFonts w:ascii="Arial" w:hAnsi="Arial" w:cs="Arial"/>
          <w:b/>
        </w:rPr>
        <w:t>Para desahogar el segundo punto se aprueba el orden del día.</w:t>
      </w:r>
    </w:p>
    <w:p w:rsidR="00EE596C" w:rsidRDefault="00EE596C" w:rsidP="00236D39">
      <w:pPr>
        <w:spacing w:after="0"/>
        <w:ind w:left="1065"/>
        <w:jc w:val="both"/>
        <w:rPr>
          <w:rFonts w:ascii="Arial" w:hAnsi="Arial" w:cs="Arial"/>
          <w:b/>
        </w:rPr>
      </w:pPr>
    </w:p>
    <w:p w:rsidR="00EE596C" w:rsidRDefault="00EE596C" w:rsidP="00236D39">
      <w:pPr>
        <w:numPr>
          <w:ilvl w:val="0"/>
          <w:numId w:val="16"/>
        </w:numPr>
        <w:spacing w:after="0"/>
        <w:jc w:val="both"/>
        <w:rPr>
          <w:rFonts w:ascii="Arial" w:hAnsi="Arial" w:cs="Arial"/>
          <w:b/>
        </w:rPr>
      </w:pPr>
      <w:r>
        <w:rPr>
          <w:rFonts w:ascii="Arial" w:hAnsi="Arial" w:cs="Arial"/>
          <w:b/>
        </w:rPr>
        <w:t>En este punto, se comentan los resultados de los eventos realizados en este mes, considerando el evento de Día de muertos más lucido con la exposición de altares en la Plaza Principal y no en La Casa de la Cultura como se habían hecho los años anteriores.</w:t>
      </w:r>
    </w:p>
    <w:p w:rsidR="00EE596C" w:rsidRDefault="00EE596C" w:rsidP="00236D39">
      <w:pPr>
        <w:spacing w:after="0"/>
        <w:jc w:val="both"/>
        <w:rPr>
          <w:rFonts w:ascii="Arial" w:hAnsi="Arial" w:cs="Arial"/>
          <w:b/>
        </w:rPr>
      </w:pPr>
    </w:p>
    <w:p w:rsidR="00EE596C" w:rsidRDefault="00EE596C" w:rsidP="00236D39">
      <w:pPr>
        <w:spacing w:after="0"/>
        <w:ind w:left="1080"/>
        <w:jc w:val="both"/>
        <w:rPr>
          <w:rFonts w:ascii="Arial" w:hAnsi="Arial" w:cs="Arial"/>
          <w:b/>
        </w:rPr>
      </w:pPr>
    </w:p>
    <w:p w:rsidR="00EE596C" w:rsidRPr="004E393C" w:rsidRDefault="00EE596C" w:rsidP="00236D39">
      <w:pPr>
        <w:numPr>
          <w:ilvl w:val="0"/>
          <w:numId w:val="16"/>
        </w:numPr>
        <w:spacing w:after="0"/>
        <w:jc w:val="both"/>
        <w:rPr>
          <w:rFonts w:ascii="Arial" w:hAnsi="Arial" w:cs="Arial"/>
          <w:b/>
        </w:rPr>
      </w:pPr>
      <w:r>
        <w:rPr>
          <w:rFonts w:ascii="Arial" w:hAnsi="Arial" w:cs="Arial"/>
          <w:b/>
        </w:rPr>
        <w:t xml:space="preserve">En este punto,  se revisan los proyectos y compromisos  de los meses próximos, se revisan los eventos y actividades  a realizarse en diciembre y se forman comisiones para llevarse a cabo quedando todos conformes con ello. </w:t>
      </w:r>
    </w:p>
    <w:p w:rsidR="00EE596C" w:rsidRDefault="00EE596C" w:rsidP="00236D39">
      <w:pPr>
        <w:spacing w:after="0"/>
        <w:ind w:left="1800"/>
        <w:jc w:val="both"/>
        <w:rPr>
          <w:rFonts w:ascii="Arial" w:hAnsi="Arial" w:cs="Arial"/>
          <w:b/>
        </w:rPr>
      </w:pPr>
    </w:p>
    <w:p w:rsidR="00EE596C" w:rsidRPr="00FB2C88" w:rsidRDefault="00EE596C" w:rsidP="00236D39">
      <w:pPr>
        <w:numPr>
          <w:ilvl w:val="0"/>
          <w:numId w:val="16"/>
        </w:numPr>
        <w:spacing w:after="0"/>
        <w:jc w:val="both"/>
        <w:rPr>
          <w:rFonts w:ascii="Arial" w:hAnsi="Arial" w:cs="Arial"/>
          <w:b/>
        </w:rPr>
      </w:pPr>
      <w:r>
        <w:rPr>
          <w:rFonts w:ascii="Arial" w:hAnsi="Arial" w:cs="Arial"/>
          <w:b/>
        </w:rPr>
        <w:t xml:space="preserve"> En asuntos varios, por parte del Regidor Francisco se da a conocer que por falta de recurso, este año no tendrán posada los alumnos de los talleres. </w:t>
      </w:r>
    </w:p>
    <w:p w:rsidR="00EE596C" w:rsidRDefault="00EE596C" w:rsidP="00236D39">
      <w:pPr>
        <w:spacing w:after="0"/>
        <w:ind w:left="1080"/>
        <w:jc w:val="both"/>
        <w:rPr>
          <w:rFonts w:ascii="Arial" w:hAnsi="Arial" w:cs="Arial"/>
          <w:b/>
        </w:rPr>
      </w:pPr>
    </w:p>
    <w:p w:rsidR="00EE596C" w:rsidRDefault="00EE596C" w:rsidP="00236D39">
      <w:pPr>
        <w:numPr>
          <w:ilvl w:val="0"/>
          <w:numId w:val="16"/>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21:00 veintiuna   horas del día 26 de Noviembre 2015, firmando al margen y al calce los que en ella intervinieron.</w:t>
      </w:r>
    </w:p>
    <w:p w:rsidR="00EE596C" w:rsidRPr="00A51F59" w:rsidRDefault="00EE596C" w:rsidP="00236D39">
      <w:pPr>
        <w:spacing w:after="0"/>
        <w:ind w:left="1800"/>
        <w:jc w:val="both"/>
        <w:rPr>
          <w:rFonts w:ascii="Arial" w:hAnsi="Arial" w:cs="Arial"/>
          <w:b/>
        </w:rPr>
      </w:pPr>
      <w:r>
        <w:rPr>
          <w:rFonts w:ascii="Arial" w:hAnsi="Arial" w:cs="Arial"/>
        </w:rPr>
        <w:tab/>
      </w:r>
    </w:p>
    <w:p w:rsidR="00EE596C" w:rsidRPr="00E9384D" w:rsidRDefault="00EE596C" w:rsidP="00236D39">
      <w:pPr>
        <w:tabs>
          <w:tab w:val="left" w:pos="1410"/>
        </w:tabs>
        <w:jc w:val="both"/>
        <w:rPr>
          <w:rFonts w:ascii="Arial" w:hAnsi="Arial" w:cs="Arial"/>
        </w:rPr>
      </w:pP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Eva  Torres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bl>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rsidP="00EE596C">
      <w:pPr>
        <w:rPr>
          <w:rFonts w:ascii="Arial" w:hAnsi="Arial" w:cs="Arial"/>
        </w:rPr>
      </w:pPr>
    </w:p>
    <w:p w:rsidR="00EE596C" w:rsidRDefault="00EE596C">
      <w:bookmarkStart w:id="0" w:name="_GoBack"/>
      <w:bookmarkEnd w:id="0"/>
    </w:p>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06" w:rsidRDefault="00034106" w:rsidP="00EE596C">
      <w:pPr>
        <w:spacing w:after="0" w:line="240" w:lineRule="auto"/>
      </w:pPr>
      <w:r>
        <w:separator/>
      </w:r>
    </w:p>
  </w:endnote>
  <w:endnote w:type="continuationSeparator" w:id="0">
    <w:p w:rsidR="00034106" w:rsidRDefault="00034106"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06" w:rsidRDefault="00034106" w:rsidP="00EE596C">
      <w:pPr>
        <w:spacing w:after="0" w:line="240" w:lineRule="auto"/>
      </w:pPr>
      <w:r>
        <w:separator/>
      </w:r>
    </w:p>
  </w:footnote>
  <w:footnote w:type="continuationSeparator" w:id="0">
    <w:p w:rsidR="00034106" w:rsidRDefault="00034106"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03410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034106">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03410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34106"/>
    <w:rsid w:val="000B2303"/>
    <w:rsid w:val="00101DA7"/>
    <w:rsid w:val="00103AC4"/>
    <w:rsid w:val="001C4264"/>
    <w:rsid w:val="00236D39"/>
    <w:rsid w:val="002F4222"/>
    <w:rsid w:val="00303ACC"/>
    <w:rsid w:val="003557DE"/>
    <w:rsid w:val="004432BE"/>
    <w:rsid w:val="00535148"/>
    <w:rsid w:val="006216A1"/>
    <w:rsid w:val="006D6609"/>
    <w:rsid w:val="006F1F59"/>
    <w:rsid w:val="00841ADA"/>
    <w:rsid w:val="008D3FB7"/>
    <w:rsid w:val="0094215F"/>
    <w:rsid w:val="0095502B"/>
    <w:rsid w:val="009F1103"/>
    <w:rsid w:val="00A35C6B"/>
    <w:rsid w:val="00BD3296"/>
    <w:rsid w:val="00C34BD0"/>
    <w:rsid w:val="00C62371"/>
    <w:rsid w:val="00C9642D"/>
    <w:rsid w:val="00E04051"/>
    <w:rsid w:val="00EE596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72F3E8"/>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4E8DA-38B0-4349-B23B-875FF1D3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2017-04-08T22:06:00Z</dcterms:created>
  <dcterms:modified xsi:type="dcterms:W3CDTF">2017-04-08T22:08:00Z</dcterms:modified>
</cp:coreProperties>
</file>